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572" w:tblpY="176"/>
        <w:tblW w:w="11971" w:type="dxa"/>
        <w:tblLook w:val="04A0" w:firstRow="1" w:lastRow="0" w:firstColumn="1" w:lastColumn="0" w:noHBand="0" w:noVBand="1"/>
      </w:tblPr>
      <w:tblGrid>
        <w:gridCol w:w="2339"/>
        <w:gridCol w:w="1059"/>
        <w:gridCol w:w="825"/>
        <w:gridCol w:w="913"/>
        <w:gridCol w:w="813"/>
        <w:gridCol w:w="1276"/>
        <w:gridCol w:w="2126"/>
        <w:gridCol w:w="2268"/>
        <w:gridCol w:w="352"/>
      </w:tblGrid>
      <w:tr w:rsidR="00B7546A" w:rsidRPr="00FB2653" w14:paraId="1484D32A" w14:textId="77777777" w:rsidTr="5305E3B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0C1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B2653">
              <w:rPr>
                <w:rFonts w:asciiTheme="minorHAnsi" w:hAnsiTheme="minorHAnsi" w:cstheme="minorHAnsi"/>
                <w:b/>
                <w:szCs w:val="20"/>
              </w:rPr>
              <w:t>Trainee:</w:t>
            </w:r>
          </w:p>
          <w:p w14:paraId="32F0B0AB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6B660D1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CBEB78E" w14:textId="52759AD0" w:rsidR="00B7546A" w:rsidRDefault="00B7546A" w:rsidP="00E71098">
            <w:pPr>
              <w:rPr>
                <w:rFonts w:cstheme="minorHAnsi"/>
                <w:b/>
                <w:szCs w:val="20"/>
              </w:rPr>
            </w:pPr>
            <w:r w:rsidRPr="00FB2653">
              <w:rPr>
                <w:rFonts w:asciiTheme="minorHAnsi" w:hAnsiTheme="minorHAnsi" w:cstheme="minorHAnsi"/>
                <w:b/>
                <w:szCs w:val="20"/>
              </w:rPr>
              <w:t>School: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E65C" w14:textId="67254B18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Mentor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44AB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B2653">
              <w:rPr>
                <w:rFonts w:asciiTheme="minorHAnsi" w:hAnsiTheme="minorHAnsi" w:cstheme="minorHAnsi"/>
                <w:b/>
                <w:szCs w:val="20"/>
              </w:rPr>
              <w:t>Teaching group: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2783" w14:textId="77777777" w:rsidR="00B7546A" w:rsidRPr="00FB2653" w:rsidRDefault="00B7546A" w:rsidP="00E71098">
            <w:pPr>
              <w:ind w:left="-391" w:firstLine="391"/>
              <w:rPr>
                <w:rFonts w:asciiTheme="minorHAnsi" w:hAnsiTheme="minorHAnsi" w:cstheme="minorHAnsi"/>
                <w:b/>
                <w:szCs w:val="20"/>
              </w:rPr>
            </w:pPr>
            <w:r w:rsidRPr="00FB2653">
              <w:rPr>
                <w:rFonts w:asciiTheme="minorHAnsi" w:hAnsiTheme="minorHAnsi" w:cstheme="minorHAnsi"/>
                <w:b/>
                <w:szCs w:val="20"/>
              </w:rPr>
              <w:t>Date:</w:t>
            </w:r>
          </w:p>
        </w:tc>
      </w:tr>
      <w:tr w:rsidR="00257D8B" w:rsidRPr="00FB2653" w14:paraId="646B74CC" w14:textId="77777777" w:rsidTr="00A42986">
        <w:trPr>
          <w:gridAfter w:val="1"/>
          <w:wAfter w:w="352" w:type="dxa"/>
        </w:trPr>
        <w:tc>
          <w:tcPr>
            <w:tcW w:w="11619" w:type="dxa"/>
            <w:gridSpan w:val="8"/>
            <w:tcBorders>
              <w:right w:val="single" w:sz="4" w:space="0" w:color="auto"/>
            </w:tcBorders>
          </w:tcPr>
          <w:p w14:paraId="46A5AE6D" w14:textId="25931C17" w:rsidR="00257D8B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Please</w:t>
            </w:r>
            <w:r w:rsidR="00476883">
              <w:rPr>
                <w:rFonts w:asciiTheme="minorHAnsi" w:hAnsiTheme="minorHAnsi" w:cstheme="minorHAnsi"/>
                <w:b/>
                <w:szCs w:val="20"/>
              </w:rPr>
              <w:t xml:space="preserve"> use this form if t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he lesson focus is </w:t>
            </w:r>
            <w:r w:rsidR="00476883">
              <w:rPr>
                <w:rFonts w:asciiTheme="minorHAnsi" w:hAnsiTheme="minorHAnsi" w:cstheme="minorHAnsi"/>
                <w:b/>
                <w:szCs w:val="20"/>
              </w:rPr>
              <w:t xml:space="preserve">teaching children how to make inferences and/or predictions </w:t>
            </w:r>
          </w:p>
          <w:p w14:paraId="5D215FF7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57D8B" w:rsidRPr="00FB2653" w14:paraId="21CA0DA9" w14:textId="77777777" w:rsidTr="00FE6C25">
        <w:trPr>
          <w:gridAfter w:val="1"/>
          <w:wAfter w:w="352" w:type="dxa"/>
        </w:trPr>
        <w:tc>
          <w:tcPr>
            <w:tcW w:w="11619" w:type="dxa"/>
            <w:gridSpan w:val="8"/>
            <w:tcBorders>
              <w:right w:val="single" w:sz="4" w:space="0" w:color="auto"/>
            </w:tcBorders>
          </w:tcPr>
          <w:p w14:paraId="096CAFCC" w14:textId="754A3349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There is no expectation for you to do so </w:t>
            </w:r>
            <w:proofErr w:type="gramStart"/>
            <w:r>
              <w:rPr>
                <w:rFonts w:asciiTheme="minorHAnsi" w:hAnsiTheme="minorHAnsi" w:cstheme="minorHAnsi"/>
                <w:b/>
                <w:szCs w:val="20"/>
              </w:rPr>
              <w:t xml:space="preserve">but </w:t>
            </w:r>
            <w:r w:rsidRPr="00FB2653">
              <w:rPr>
                <w:rFonts w:asciiTheme="minorHAnsi" w:hAnsiTheme="minorHAnsi" w:cstheme="minorHAnsi"/>
                <w:b/>
                <w:szCs w:val="20"/>
              </w:rPr>
              <w:t xml:space="preserve"> If</w:t>
            </w:r>
            <w:proofErr w:type="gramEnd"/>
            <w:r w:rsidRPr="00FB2653">
              <w:rPr>
                <w:rFonts w:asciiTheme="minorHAnsi" w:hAnsiTheme="minorHAnsi" w:cstheme="minorHAnsi"/>
                <w:b/>
                <w:szCs w:val="20"/>
              </w:rPr>
              <w:t xml:space="preserve"> you like to make notes while you are observing,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use this space.  </w:t>
            </w:r>
          </w:p>
          <w:p w14:paraId="29A0D7FD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1A8AC534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58BC0985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40C624E8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0C82C036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0F1488A0" w14:textId="77777777" w:rsidR="00257D8B" w:rsidRPr="00FB2653" w:rsidRDefault="00257D8B" w:rsidP="00E71098">
            <w:pPr>
              <w:ind w:left="-391" w:firstLine="39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B7546A" w:rsidRPr="00FB2653" w14:paraId="5BA3587E" w14:textId="77777777" w:rsidTr="00476883">
        <w:trPr>
          <w:gridAfter w:val="1"/>
          <w:wAfter w:w="352" w:type="dxa"/>
          <w:trHeight w:val="816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A21293F" w14:textId="0F3AC316" w:rsidR="00130046" w:rsidRDefault="00130046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These questions apply whatever the reading focus</w:t>
            </w:r>
          </w:p>
          <w:p w14:paraId="524A80C4" w14:textId="77777777" w:rsidR="00130046" w:rsidRDefault="00130046" w:rsidP="00E71098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1AF9A72F" w14:textId="05380CAA" w:rsidR="00B7546A" w:rsidRDefault="00B7546A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Does the student teacher:</w:t>
            </w:r>
          </w:p>
          <w:p w14:paraId="5F7AD453" w14:textId="514B8757" w:rsidR="00D26F85" w:rsidRPr="00CD7512" w:rsidRDefault="00D26F85" w:rsidP="00E7109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6305C62" w14:textId="41C657BE" w:rsidR="00B7546A" w:rsidRPr="00CD7512" w:rsidRDefault="00B7546A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Yes</w:t>
            </w:r>
          </w:p>
        </w:tc>
        <w:tc>
          <w:tcPr>
            <w:tcW w:w="913" w:type="dxa"/>
            <w:shd w:val="clear" w:color="auto" w:fill="CAEDFB" w:themeFill="accent4" w:themeFillTint="33"/>
          </w:tcPr>
          <w:p w14:paraId="1FC7E0A4" w14:textId="763FC400" w:rsidR="00B7546A" w:rsidRPr="00CD7512" w:rsidRDefault="00E82767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Partly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66C6058" w14:textId="77777777" w:rsidR="00CD7512" w:rsidRPr="00CD7512" w:rsidRDefault="00CD7512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 xml:space="preserve">No </w:t>
            </w:r>
          </w:p>
          <w:p w14:paraId="0854C21E" w14:textId="4F8042E8" w:rsidR="00B7546A" w:rsidRPr="00CD7512" w:rsidRDefault="00B7546A" w:rsidP="00E7109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6A7BA50" w14:textId="77777777" w:rsidR="00B7546A" w:rsidRPr="00CD7512" w:rsidRDefault="00B7546A" w:rsidP="00E71098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Examples/comments</w:t>
            </w:r>
          </w:p>
        </w:tc>
      </w:tr>
      <w:tr w:rsidR="00B7546A" w:rsidRPr="00FB2653" w14:paraId="2D4694FB" w14:textId="77777777" w:rsidTr="5305E3B4">
        <w:trPr>
          <w:gridAfter w:val="1"/>
          <w:wAfter w:w="352" w:type="dxa"/>
          <w:trHeight w:val="816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6B3EA" w14:textId="7777777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  <w:r w:rsidRPr="00E71098">
              <w:rPr>
                <w:rFonts w:ascii="Arial" w:hAnsi="Arial" w:cs="Arial"/>
                <w:szCs w:val="20"/>
              </w:rPr>
              <w:t>Model the use of accurate subject knowledge including terminology appropriate to the school’s scheme?</w:t>
            </w:r>
          </w:p>
          <w:p w14:paraId="5EB0DF30" w14:textId="7777777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F23B5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582E91CE" w14:textId="77777777" w:rsidR="00B7546A" w:rsidRPr="00FB2653" w:rsidRDefault="00B7546A" w:rsidP="00E71098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9A67A" w14:textId="09673A2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47A5A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B7546A" w:rsidRPr="00FB2653" w14:paraId="31666142" w14:textId="77777777" w:rsidTr="5305E3B4">
        <w:trPr>
          <w:gridAfter w:val="1"/>
          <w:wAfter w:w="352" w:type="dxa"/>
          <w:trHeight w:val="816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E2333" w14:textId="7777777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  <w:r w:rsidRPr="00E71098">
              <w:rPr>
                <w:rFonts w:ascii="Arial" w:hAnsi="Arial" w:cs="Arial"/>
                <w:szCs w:val="20"/>
              </w:rPr>
              <w:t>Model enthusiasm about reading?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90FFB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47AB791A" w14:textId="77777777" w:rsidR="00B7546A" w:rsidRPr="00FB2653" w:rsidRDefault="00B7546A" w:rsidP="00E71098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6C95A" w14:textId="1C24B7CA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7723C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B7546A" w:rsidRPr="00FB2653" w14:paraId="3E6DE540" w14:textId="77777777" w:rsidTr="5305E3B4">
        <w:trPr>
          <w:gridAfter w:val="1"/>
          <w:wAfter w:w="352" w:type="dxa"/>
          <w:trHeight w:val="658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DE563" w14:textId="7F0ADD5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  <w:r w:rsidRPr="00E71098">
              <w:rPr>
                <w:rFonts w:ascii="Arial" w:hAnsi="Arial" w:cs="Arial"/>
                <w:szCs w:val="20"/>
              </w:rPr>
              <w:t>Model how to apply phonics knowledge to decode unfamiliar words?</w:t>
            </w:r>
          </w:p>
          <w:p w14:paraId="0D45DA97" w14:textId="77777777" w:rsidR="00B7546A" w:rsidRPr="00E71098" w:rsidRDefault="00B7546A" w:rsidP="00E7109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F7B3E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78664D22" w14:textId="77777777" w:rsidR="00B7546A" w:rsidRPr="00FB2653" w:rsidRDefault="00B7546A" w:rsidP="00E71098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CFB1" w14:textId="643C4D1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78ECC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B7546A" w:rsidRPr="00FB2653" w14:paraId="295A2DE5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5210F" w14:textId="77777777" w:rsidR="00E02974" w:rsidRPr="00E71098" w:rsidRDefault="00E02974" w:rsidP="00E02974">
            <w:pPr>
              <w:rPr>
                <w:rFonts w:ascii="Arial" w:hAnsi="Arial" w:cs="Arial"/>
                <w:szCs w:val="20"/>
              </w:rPr>
            </w:pPr>
            <w:r w:rsidRPr="00E71098">
              <w:rPr>
                <w:rFonts w:ascii="Arial" w:hAnsi="Arial" w:cs="Arial"/>
                <w:szCs w:val="20"/>
              </w:rPr>
              <w:t>Clarify word meanings by modelling meaning appropriately so children can access and understand them?</w:t>
            </w:r>
          </w:p>
          <w:p w14:paraId="49990F8B" w14:textId="77777777" w:rsidR="00B7546A" w:rsidRPr="00E71098" w:rsidRDefault="00B7546A" w:rsidP="00E0297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61FB1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3F8317A2" w14:textId="77777777" w:rsidR="00B7546A" w:rsidRPr="00FB2653" w:rsidRDefault="00B7546A" w:rsidP="00E71098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A74C2" w14:textId="540ADB12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E1DCE" w14:textId="77777777" w:rsidR="00B7546A" w:rsidRPr="00FB2653" w:rsidRDefault="00B7546A" w:rsidP="00E71098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C57F57" w:rsidRPr="00FB2653" w14:paraId="05CDAF99" w14:textId="77777777" w:rsidTr="00476883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646CFFC" w14:textId="3EFBAC66" w:rsidR="00C57F57" w:rsidRDefault="00C57F57" w:rsidP="00C57F5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These questions apply to lessons where the focus is answering inference or prediction questions on a previously read text.  </w:t>
            </w:r>
          </w:p>
          <w:p w14:paraId="35A5ABD2" w14:textId="77777777" w:rsidR="00C57F57" w:rsidRDefault="00C57F57" w:rsidP="00C57F57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2FBD76C0" w14:textId="77777777" w:rsidR="00C57F57" w:rsidRDefault="00C57F57" w:rsidP="00C57F57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Does the student teacher:</w:t>
            </w:r>
          </w:p>
          <w:p w14:paraId="186EE20C" w14:textId="77777777" w:rsidR="00C57F57" w:rsidRDefault="00C57F57" w:rsidP="00C57F5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0E29DF4" w14:textId="128166F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Yes</w:t>
            </w:r>
          </w:p>
        </w:tc>
        <w:tc>
          <w:tcPr>
            <w:tcW w:w="913" w:type="dxa"/>
            <w:shd w:val="clear" w:color="auto" w:fill="CAEDFB" w:themeFill="accent4" w:themeFillTint="33"/>
          </w:tcPr>
          <w:p w14:paraId="40D2914D" w14:textId="0957C296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Partly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6D0B875" w14:textId="77777777" w:rsidR="00C57F57" w:rsidRPr="00CD7512" w:rsidRDefault="00C57F57" w:rsidP="00C57F57">
            <w:pPr>
              <w:rPr>
                <w:rFonts w:ascii="Arial" w:hAnsi="Arial" w:cs="Arial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 xml:space="preserve">No </w:t>
            </w:r>
          </w:p>
          <w:p w14:paraId="691D13F5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B9387CE" w14:textId="10410A51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  <w:r w:rsidRPr="00CD7512">
              <w:rPr>
                <w:rFonts w:ascii="Arial" w:hAnsi="Arial" w:cs="Arial"/>
                <w:b/>
                <w:bCs/>
                <w:szCs w:val="20"/>
              </w:rPr>
              <w:t>Examples/comments</w:t>
            </w:r>
          </w:p>
        </w:tc>
      </w:tr>
      <w:tr w:rsidR="00C57F57" w:rsidRPr="00FB2653" w14:paraId="57236D76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809CA" w14:textId="118244EE" w:rsidR="00C57F57" w:rsidRPr="00E71098" w:rsidRDefault="00C57F57" w:rsidP="17407797">
            <w:pPr>
              <w:rPr>
                <w:rFonts w:ascii="Arial" w:hAnsi="Arial" w:cs="Arial"/>
              </w:rPr>
            </w:pPr>
            <w:r w:rsidRPr="00476883">
              <w:rPr>
                <w:rFonts w:ascii="Arial" w:hAnsi="Arial" w:cs="Arial"/>
                <w:b/>
                <w:bCs/>
              </w:rPr>
              <w:t xml:space="preserve">Model </w:t>
            </w:r>
            <w:r w:rsidRPr="17407797">
              <w:rPr>
                <w:rFonts w:ascii="Arial" w:hAnsi="Arial" w:cs="Arial"/>
              </w:rPr>
              <w:t xml:space="preserve">how to clarify </w:t>
            </w:r>
            <w:r w:rsidR="00A34F8E" w:rsidRPr="17407797">
              <w:rPr>
                <w:rFonts w:ascii="Arial" w:hAnsi="Arial" w:cs="Arial"/>
              </w:rPr>
              <w:t>what the question is asking by thinking aloud</w:t>
            </w:r>
            <w:r w:rsidR="6E785669" w:rsidRPr="17407797">
              <w:rPr>
                <w:rFonts w:ascii="Arial" w:hAnsi="Arial" w:cs="Arial"/>
              </w:rPr>
              <w:t>.</w:t>
            </w:r>
            <w:r w:rsidR="00A34F8E" w:rsidRPr="17407797">
              <w:rPr>
                <w:rFonts w:ascii="Arial" w:hAnsi="Arial" w:cs="Arial"/>
              </w:rPr>
              <w:t xml:space="preserve"> </w:t>
            </w:r>
            <w:r w:rsidR="007813C1" w:rsidRPr="00476883">
              <w:rPr>
                <w:rFonts w:ascii="Arial" w:hAnsi="Arial" w:cs="Arial"/>
                <w:b/>
                <w:bCs/>
              </w:rPr>
              <w:t>Explain</w:t>
            </w:r>
            <w:r w:rsidR="007813C1" w:rsidRPr="17407797">
              <w:rPr>
                <w:rFonts w:ascii="Arial" w:hAnsi="Arial" w:cs="Arial"/>
              </w:rPr>
              <w:t xml:space="preserve"> why this is important</w:t>
            </w:r>
            <w:r w:rsidR="1A692805" w:rsidRPr="17407797">
              <w:rPr>
                <w:rFonts w:ascii="Arial" w:hAnsi="Arial" w:cs="Arial"/>
              </w:rPr>
              <w:t>.</w:t>
            </w:r>
          </w:p>
          <w:p w14:paraId="42DC5FCD" w14:textId="77777777" w:rsidR="00C57F57" w:rsidRPr="00E71098" w:rsidRDefault="00C57F57" w:rsidP="00C57F5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41803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037942BE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9EB15" w14:textId="03DAFF1A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3CC0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C57F57" w:rsidRPr="00FB2653" w14:paraId="342CFDDB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B2E4C" w14:textId="332D8831" w:rsidR="00C57F57" w:rsidRPr="00E71098" w:rsidRDefault="00C57F57" w:rsidP="17407797">
            <w:pPr>
              <w:rPr>
                <w:rFonts w:ascii="Arial" w:hAnsi="Arial" w:cs="Arial"/>
              </w:rPr>
            </w:pPr>
            <w:r w:rsidRPr="00476883">
              <w:rPr>
                <w:rFonts w:ascii="Arial" w:hAnsi="Arial" w:cs="Arial"/>
                <w:b/>
                <w:bCs/>
              </w:rPr>
              <w:t>Model</w:t>
            </w:r>
            <w:r w:rsidRPr="17407797">
              <w:rPr>
                <w:rFonts w:ascii="Arial" w:hAnsi="Arial" w:cs="Arial"/>
              </w:rPr>
              <w:t xml:space="preserve"> how to </w:t>
            </w:r>
            <w:r w:rsidRPr="17407797">
              <w:rPr>
                <w:rFonts w:ascii="Arial" w:hAnsi="Arial" w:cs="Arial"/>
                <w:b/>
                <w:bCs/>
              </w:rPr>
              <w:t xml:space="preserve">retrieve </w:t>
            </w:r>
            <w:r w:rsidRPr="17407797">
              <w:rPr>
                <w:rFonts w:ascii="Arial" w:hAnsi="Arial" w:cs="Arial"/>
              </w:rPr>
              <w:t>information from the text</w:t>
            </w:r>
            <w:r w:rsidR="29CA0CA3" w:rsidRPr="17407797">
              <w:rPr>
                <w:rFonts w:ascii="Arial" w:hAnsi="Arial" w:cs="Arial"/>
              </w:rPr>
              <w:t xml:space="preserve"> (</w:t>
            </w:r>
            <w:proofErr w:type="gramStart"/>
            <w:r w:rsidR="29CA0CA3" w:rsidRPr="17407797">
              <w:rPr>
                <w:rFonts w:ascii="Arial" w:hAnsi="Arial" w:cs="Arial"/>
              </w:rPr>
              <w:t xml:space="preserve">clues) </w:t>
            </w:r>
            <w:r w:rsidRPr="17407797">
              <w:rPr>
                <w:rFonts w:ascii="Arial" w:hAnsi="Arial" w:cs="Arial"/>
              </w:rPr>
              <w:t xml:space="preserve"> by</w:t>
            </w:r>
            <w:proofErr w:type="gramEnd"/>
            <w:r w:rsidRPr="17407797">
              <w:rPr>
                <w:rFonts w:ascii="Arial" w:hAnsi="Arial" w:cs="Arial"/>
              </w:rPr>
              <w:t xml:space="preserve"> thinking aloud?</w:t>
            </w:r>
          </w:p>
          <w:p w14:paraId="649BD8B2" w14:textId="77777777" w:rsidR="00C57F57" w:rsidRPr="00E71098" w:rsidRDefault="00C57F57" w:rsidP="00C57F5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229E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2C16BCF3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DEE34" w14:textId="3E0049A9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7FC76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17407797" w14:paraId="50FADFCB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876B1" w14:textId="71A27889" w:rsidR="523BEB5C" w:rsidRDefault="00476883" w:rsidP="17407797">
            <w:pPr>
              <w:rPr>
                <w:rFonts w:ascii="Arial" w:hAnsi="Arial" w:cs="Arial"/>
              </w:rPr>
            </w:pPr>
            <w:r w:rsidRPr="00476883">
              <w:rPr>
                <w:rFonts w:ascii="Arial" w:hAnsi="Arial" w:cs="Arial"/>
                <w:b/>
                <w:bCs/>
              </w:rPr>
              <w:lastRenderedPageBreak/>
              <w:t>Think aloud</w:t>
            </w:r>
            <w:r>
              <w:rPr>
                <w:rFonts w:ascii="Arial" w:hAnsi="Arial" w:cs="Arial"/>
              </w:rPr>
              <w:t xml:space="preserve"> using </w:t>
            </w:r>
            <w:r w:rsidR="523BEB5C" w:rsidRPr="17407797">
              <w:rPr>
                <w:rFonts w:ascii="Arial" w:hAnsi="Arial" w:cs="Arial"/>
              </w:rPr>
              <w:t>‘not</w:t>
            </w:r>
            <w:r w:rsidR="7BB05248" w:rsidRPr="17407797">
              <w:rPr>
                <w:rFonts w:ascii="Arial" w:hAnsi="Arial" w:cs="Arial"/>
              </w:rPr>
              <w:t xml:space="preserve">icing’ language and other examples to </w:t>
            </w:r>
            <w:r w:rsidR="7BB05248" w:rsidRPr="00476883">
              <w:rPr>
                <w:rFonts w:ascii="Arial" w:hAnsi="Arial" w:cs="Arial"/>
                <w:b/>
                <w:bCs/>
              </w:rPr>
              <w:t>mode</w:t>
            </w:r>
            <w:r w:rsidR="7BB05248" w:rsidRPr="17407797">
              <w:rPr>
                <w:rFonts w:ascii="Arial" w:hAnsi="Arial" w:cs="Arial"/>
              </w:rPr>
              <w:t xml:space="preserve">l </w:t>
            </w:r>
            <w:r w:rsidR="7BB05248" w:rsidRPr="00476883">
              <w:rPr>
                <w:rFonts w:ascii="Arial" w:hAnsi="Arial" w:cs="Arial"/>
                <w:b/>
                <w:bCs/>
              </w:rPr>
              <w:t>thought process</w:t>
            </w:r>
            <w:r w:rsidR="7BB05248" w:rsidRPr="17407797">
              <w:rPr>
                <w:rFonts w:ascii="Arial" w:hAnsi="Arial" w:cs="Arial"/>
              </w:rPr>
              <w:t xml:space="preserve"> e.g. I notice here that it says...this tells me ...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23119" w14:textId="7186E7A0" w:rsidR="17407797" w:rsidRDefault="17407797" w:rsidP="17407797">
            <w:pPr>
              <w:rPr>
                <w:b/>
                <w:bCs/>
              </w:rPr>
            </w:pPr>
          </w:p>
        </w:tc>
        <w:tc>
          <w:tcPr>
            <w:tcW w:w="913" w:type="dxa"/>
          </w:tcPr>
          <w:p w14:paraId="5329BED1" w14:textId="2185AC79" w:rsidR="17407797" w:rsidRDefault="17407797" w:rsidP="17407797">
            <w:pPr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C4B93" w14:textId="6E86C2BA" w:rsidR="17407797" w:rsidRDefault="17407797" w:rsidP="17407797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13319" w14:textId="79BF3A41" w:rsidR="17407797" w:rsidRDefault="17407797" w:rsidP="17407797">
            <w:pPr>
              <w:rPr>
                <w:b/>
                <w:bCs/>
              </w:rPr>
            </w:pPr>
          </w:p>
        </w:tc>
      </w:tr>
      <w:tr w:rsidR="00476883" w14:paraId="38DC1D19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EE179" w14:textId="7C46BDE5" w:rsidR="00476883" w:rsidRPr="00476883" w:rsidRDefault="00476883" w:rsidP="17407797">
            <w:pPr>
              <w:rPr>
                <w:rFonts w:ascii="Arial" w:hAnsi="Arial" w:cs="Arial"/>
                <w:b/>
                <w:bCs/>
              </w:rPr>
            </w:pPr>
            <w:r w:rsidRPr="00476883">
              <w:rPr>
                <w:rFonts w:ascii="Arial" w:hAnsi="Arial" w:cs="Arial"/>
                <w:b/>
                <w:bCs/>
              </w:rPr>
              <w:t>Model</w:t>
            </w:r>
            <w:r>
              <w:rPr>
                <w:rFonts w:ascii="Arial" w:hAnsi="Arial" w:cs="Arial"/>
              </w:rPr>
              <w:t xml:space="preserve"> how to clarify the meaning of key vocabulary within the context of the text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C0E3" w14:textId="77777777" w:rsidR="00476883" w:rsidRDefault="00476883" w:rsidP="17407797">
            <w:pPr>
              <w:rPr>
                <w:b/>
                <w:bCs/>
              </w:rPr>
            </w:pPr>
          </w:p>
        </w:tc>
        <w:tc>
          <w:tcPr>
            <w:tcW w:w="913" w:type="dxa"/>
          </w:tcPr>
          <w:p w14:paraId="5200ADD0" w14:textId="77777777" w:rsidR="00476883" w:rsidRDefault="00476883" w:rsidP="17407797">
            <w:pPr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8ED3C" w14:textId="77777777" w:rsidR="00476883" w:rsidRDefault="00476883" w:rsidP="17407797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20D7B" w14:textId="77777777" w:rsidR="00476883" w:rsidRDefault="00476883" w:rsidP="17407797">
            <w:pPr>
              <w:rPr>
                <w:b/>
                <w:bCs/>
              </w:rPr>
            </w:pPr>
          </w:p>
        </w:tc>
      </w:tr>
      <w:tr w:rsidR="17407797" w14:paraId="45AEAA61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13D59" w14:textId="2CF3294B" w:rsidR="38812D8E" w:rsidRDefault="00476883" w:rsidP="17407797">
            <w:pPr>
              <w:rPr>
                <w:rFonts w:ascii="Arial" w:hAnsi="Arial" w:cs="Arial"/>
              </w:rPr>
            </w:pPr>
            <w:r w:rsidRPr="00476883">
              <w:rPr>
                <w:rFonts w:ascii="Arial" w:hAnsi="Arial" w:cs="Arial"/>
                <w:b/>
                <w:bCs/>
              </w:rPr>
              <w:t>Model</w:t>
            </w:r>
            <w:r>
              <w:rPr>
                <w:rFonts w:ascii="Arial" w:hAnsi="Arial" w:cs="Arial"/>
              </w:rPr>
              <w:t xml:space="preserve"> how to m</w:t>
            </w:r>
            <w:r w:rsidR="38812D8E" w:rsidRPr="17407797">
              <w:rPr>
                <w:rFonts w:ascii="Arial" w:hAnsi="Arial" w:cs="Arial"/>
              </w:rPr>
              <w:t>akes links to background knowledge</w:t>
            </w:r>
            <w:r>
              <w:rPr>
                <w:rFonts w:ascii="Arial" w:hAnsi="Arial" w:cs="Arial"/>
              </w:rPr>
              <w:t xml:space="preserve"> by thinking aloud</w:t>
            </w:r>
            <w:r w:rsidR="38812D8E" w:rsidRPr="17407797">
              <w:rPr>
                <w:rFonts w:ascii="Arial" w:hAnsi="Arial" w:cs="Arial"/>
              </w:rPr>
              <w:t xml:space="preserve"> e.g. This remind me of.../I know that...so...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BF574" w14:textId="25A3EC0D" w:rsidR="17407797" w:rsidRDefault="17407797" w:rsidP="17407797">
            <w:pPr>
              <w:rPr>
                <w:b/>
                <w:bCs/>
              </w:rPr>
            </w:pPr>
          </w:p>
        </w:tc>
        <w:tc>
          <w:tcPr>
            <w:tcW w:w="913" w:type="dxa"/>
          </w:tcPr>
          <w:p w14:paraId="5D1435BF" w14:textId="51B74E2E" w:rsidR="17407797" w:rsidRDefault="17407797" w:rsidP="17407797">
            <w:pPr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B5917" w14:textId="5224D813" w:rsidR="17407797" w:rsidRDefault="17407797" w:rsidP="17407797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42819" w14:textId="4D730328" w:rsidR="17407797" w:rsidRDefault="17407797" w:rsidP="17407797">
            <w:pPr>
              <w:rPr>
                <w:b/>
                <w:bCs/>
              </w:rPr>
            </w:pPr>
          </w:p>
        </w:tc>
      </w:tr>
      <w:tr w:rsidR="00C57F57" w:rsidRPr="00FB2653" w14:paraId="3F5D2ED0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A4756" w14:textId="3EF0C524" w:rsidR="00C57F57" w:rsidRPr="00E71098" w:rsidRDefault="00476883" w:rsidP="17407797">
            <w:pPr>
              <w:rPr>
                <w:rFonts w:ascii="Arial" w:hAnsi="Arial" w:cs="Arial"/>
              </w:rPr>
            </w:pPr>
            <w:r w:rsidRPr="00476883">
              <w:rPr>
                <w:rFonts w:ascii="Arial" w:hAnsi="Arial" w:cs="Arial"/>
                <w:b/>
                <w:bCs/>
              </w:rPr>
              <w:t>Model how to make links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between </w:t>
            </w:r>
            <w:r w:rsidR="38812D8E" w:rsidRPr="17407797">
              <w:rPr>
                <w:rFonts w:ascii="Arial" w:hAnsi="Arial" w:cs="Arial"/>
              </w:rPr>
              <w:t xml:space="preserve"> clues</w:t>
            </w:r>
            <w:proofErr w:type="gramEnd"/>
            <w:r w:rsidR="38812D8E" w:rsidRPr="17407797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 xml:space="preserve">the text, </w:t>
            </w:r>
            <w:r w:rsidR="38812D8E" w:rsidRPr="17407797">
              <w:rPr>
                <w:rFonts w:ascii="Arial" w:hAnsi="Arial" w:cs="Arial"/>
              </w:rPr>
              <w:t xml:space="preserve">and background </w:t>
            </w:r>
            <w:proofErr w:type="gramStart"/>
            <w:r w:rsidR="38812D8E" w:rsidRPr="17407797">
              <w:rPr>
                <w:rFonts w:ascii="Arial" w:hAnsi="Arial" w:cs="Arial"/>
              </w:rPr>
              <w:t>knowledge  e.g.</w:t>
            </w:r>
            <w:proofErr w:type="gramEnd"/>
            <w:r w:rsidR="38812D8E" w:rsidRPr="17407797">
              <w:rPr>
                <w:rFonts w:ascii="Arial" w:hAnsi="Arial" w:cs="Arial"/>
              </w:rPr>
              <w:t xml:space="preserve"> so because..., I think...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F7D4B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79EA4385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671EC" w14:textId="7CF263C4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561C" w14:textId="77777777" w:rsidR="00C57F57" w:rsidRPr="00FB2653" w:rsidRDefault="00C57F57" w:rsidP="00C57F57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17407797" w14:paraId="7E080B91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51210" w14:textId="0AB90196" w:rsidR="5C019024" w:rsidRDefault="00476883" w:rsidP="17407797">
            <w:pPr>
              <w:rPr>
                <w:rFonts w:ascii="Arial" w:hAnsi="Arial" w:cs="Arial"/>
              </w:rPr>
            </w:pPr>
            <w:r w:rsidRPr="00476883">
              <w:rPr>
                <w:rFonts w:ascii="Arial" w:hAnsi="Arial" w:cs="Arial"/>
                <w:b/>
                <w:bCs/>
              </w:rPr>
              <w:t>Model</w:t>
            </w:r>
            <w:r>
              <w:rPr>
                <w:rFonts w:ascii="Arial" w:hAnsi="Arial" w:cs="Arial"/>
              </w:rPr>
              <w:t xml:space="preserve"> how to return to the question and answer it explicitly </w:t>
            </w:r>
            <w:r w:rsidR="5C019024" w:rsidRPr="17407797">
              <w:rPr>
                <w:rFonts w:ascii="Arial" w:hAnsi="Arial" w:cs="Arial"/>
              </w:rPr>
              <w:t>Gave a clear inference e.g. I think she feels...because...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61BC2" w14:textId="399A6D37" w:rsidR="17407797" w:rsidRDefault="17407797" w:rsidP="17407797">
            <w:pPr>
              <w:rPr>
                <w:b/>
                <w:bCs/>
              </w:rPr>
            </w:pPr>
          </w:p>
        </w:tc>
        <w:tc>
          <w:tcPr>
            <w:tcW w:w="913" w:type="dxa"/>
          </w:tcPr>
          <w:p w14:paraId="4D354DB4" w14:textId="1805BA35" w:rsidR="17407797" w:rsidRDefault="17407797" w:rsidP="17407797">
            <w:pPr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4E542" w14:textId="61D21F76" w:rsidR="17407797" w:rsidRDefault="17407797" w:rsidP="17407797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9548" w14:textId="06DB057E" w:rsidR="17407797" w:rsidRDefault="17407797" w:rsidP="17407797">
            <w:pPr>
              <w:rPr>
                <w:b/>
                <w:bCs/>
              </w:rPr>
            </w:pPr>
          </w:p>
        </w:tc>
      </w:tr>
      <w:tr w:rsidR="00476883" w14:paraId="23DE3E4B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8677B" w14:textId="187EFDC3" w:rsidR="00476883" w:rsidRPr="00476883" w:rsidRDefault="00476883" w:rsidP="17407797">
            <w:pPr>
              <w:rPr>
                <w:rFonts w:ascii="Arial" w:hAnsi="Arial" w:cs="Arial"/>
                <w:b/>
                <w:bCs/>
              </w:rPr>
            </w:pPr>
            <w:r w:rsidRPr="00476883">
              <w:rPr>
                <w:rFonts w:ascii="Arial" w:hAnsi="Arial" w:cs="Arial"/>
                <w:b/>
                <w:bCs/>
              </w:rPr>
              <w:t>Model how to use punctuation/bold/italics when relevant</w:t>
            </w:r>
            <w:r>
              <w:rPr>
                <w:rFonts w:ascii="Arial" w:hAnsi="Arial" w:cs="Arial"/>
                <w:b/>
                <w:bCs/>
              </w:rPr>
              <w:t xml:space="preserve"> to infer characters’ feelings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69FE5" w14:textId="77777777" w:rsidR="00476883" w:rsidRDefault="00476883" w:rsidP="17407797">
            <w:pPr>
              <w:rPr>
                <w:b/>
                <w:bCs/>
              </w:rPr>
            </w:pPr>
          </w:p>
        </w:tc>
        <w:tc>
          <w:tcPr>
            <w:tcW w:w="913" w:type="dxa"/>
          </w:tcPr>
          <w:p w14:paraId="7620CF3B" w14:textId="77777777" w:rsidR="00476883" w:rsidRDefault="00476883" w:rsidP="17407797">
            <w:pPr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B0FBB" w14:textId="77777777" w:rsidR="00476883" w:rsidRDefault="00476883" w:rsidP="17407797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7582C" w14:textId="77777777" w:rsidR="00476883" w:rsidRDefault="00476883" w:rsidP="17407797">
            <w:pPr>
              <w:rPr>
                <w:b/>
                <w:bCs/>
              </w:rPr>
            </w:pPr>
          </w:p>
        </w:tc>
      </w:tr>
      <w:tr w:rsidR="00476883" w:rsidRPr="00FB2653" w14:paraId="241D2566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996C3" w14:textId="09DF92BA" w:rsidR="00476883" w:rsidRPr="00E71098" w:rsidRDefault="00476883" w:rsidP="0047688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After modelling (I Do), scaffold children in guided application of the skills (We Do)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A104" w14:textId="77777777" w:rsidR="00476883" w:rsidRPr="00FB2653" w:rsidRDefault="00476883" w:rsidP="00476883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7F32D8C3" w14:textId="77777777" w:rsidR="00476883" w:rsidRPr="00FB2653" w:rsidRDefault="00476883" w:rsidP="00476883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2A786" w14:textId="77777777" w:rsidR="00476883" w:rsidRPr="00FB2653" w:rsidRDefault="00476883" w:rsidP="00476883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1B518" w14:textId="77777777" w:rsidR="00476883" w:rsidRPr="00FB2653" w:rsidRDefault="00476883" w:rsidP="00476883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476883" w:rsidRPr="00FB2653" w14:paraId="5551D840" w14:textId="77777777" w:rsidTr="5305E3B4">
        <w:trPr>
          <w:gridAfter w:val="1"/>
          <w:wAfter w:w="352" w:type="dxa"/>
          <w:trHeight w:val="55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C9E2B" w14:textId="77777777" w:rsidR="00476883" w:rsidRDefault="00476883" w:rsidP="0047688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Ask children to apply what they have learned independently, monitoring and praising/ intervening where necessary</w:t>
            </w:r>
          </w:p>
          <w:p w14:paraId="503624B9" w14:textId="3C1CC518" w:rsidR="00476883" w:rsidRPr="00E71098" w:rsidRDefault="00476883" w:rsidP="0047688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B9C08" w14:textId="77777777" w:rsidR="00476883" w:rsidRPr="00FB2653" w:rsidRDefault="00476883" w:rsidP="00476883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913" w:type="dxa"/>
          </w:tcPr>
          <w:p w14:paraId="4C0DBC0B" w14:textId="77777777" w:rsidR="00476883" w:rsidRPr="00FB2653" w:rsidRDefault="00476883" w:rsidP="00476883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3C35E" w14:textId="77777777" w:rsidR="00476883" w:rsidRPr="00FB2653" w:rsidRDefault="00476883" w:rsidP="00476883">
            <w:pPr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AD107" w14:textId="77777777" w:rsidR="00476883" w:rsidRPr="00FB2653" w:rsidRDefault="00476883" w:rsidP="00476883">
            <w:pPr>
              <w:rPr>
                <w:rFonts w:cstheme="minorHAnsi"/>
                <w:b/>
                <w:bCs/>
                <w:szCs w:val="20"/>
              </w:rPr>
            </w:pPr>
          </w:p>
        </w:tc>
      </w:tr>
    </w:tbl>
    <w:p w14:paraId="50A1C666" w14:textId="77777777" w:rsidR="002E591A" w:rsidRDefault="002E591A" w:rsidP="00E71098"/>
    <w:p w14:paraId="1C0FF710" w14:textId="77777777" w:rsidR="002E591A" w:rsidRDefault="002E591A" w:rsidP="00E71098"/>
    <w:p w14:paraId="478FD3AB" w14:textId="77777777" w:rsidR="002E591A" w:rsidRDefault="002E591A" w:rsidP="00E71098"/>
    <w:p w14:paraId="793CF5E4" w14:textId="77777777" w:rsidR="002E591A" w:rsidRDefault="002E591A" w:rsidP="00E71098"/>
    <w:p w14:paraId="767E559A" w14:textId="77777777" w:rsidR="002E591A" w:rsidRDefault="002E591A" w:rsidP="00E71098"/>
    <w:p w14:paraId="08A200CD" w14:textId="77777777" w:rsidR="002E591A" w:rsidRDefault="002E591A" w:rsidP="00E71098"/>
    <w:p w14:paraId="4FFF18F0" w14:textId="77777777" w:rsidR="002E591A" w:rsidRDefault="002E591A" w:rsidP="00E71098"/>
    <w:p w14:paraId="454D94AC" w14:textId="77777777" w:rsidR="002E591A" w:rsidRDefault="002E591A" w:rsidP="00E71098"/>
    <w:p w14:paraId="52E0155D" w14:textId="77777777" w:rsidR="002E591A" w:rsidRDefault="002E591A" w:rsidP="00E71098"/>
    <w:p w14:paraId="1A4CAC1E" w14:textId="77777777" w:rsidR="002E591A" w:rsidRDefault="002E591A" w:rsidP="00E71098"/>
    <w:p w14:paraId="165F433C" w14:textId="77777777" w:rsidR="002E591A" w:rsidRDefault="002E591A" w:rsidP="00E71098"/>
    <w:p w14:paraId="0E69E11F" w14:textId="77777777" w:rsidR="002E591A" w:rsidRDefault="002E591A" w:rsidP="00E71098"/>
    <w:p w14:paraId="5D325770" w14:textId="77777777" w:rsidR="002E591A" w:rsidRDefault="002E591A" w:rsidP="00E71098"/>
    <w:p w14:paraId="1ADA73E8" w14:textId="1DFF0E2D" w:rsidR="002E591A" w:rsidRDefault="0017232A" w:rsidP="00E71098">
      <w:pPr>
        <w:rPr>
          <w:b/>
          <w:bCs/>
        </w:rPr>
      </w:pPr>
      <w:r w:rsidRPr="0017232A">
        <w:rPr>
          <w:b/>
          <w:bCs/>
        </w:rPr>
        <w:lastRenderedPageBreak/>
        <w:t>OVERALL ASSESSMENT</w:t>
      </w:r>
    </w:p>
    <w:p w14:paraId="70A24DA9" w14:textId="4A28C9A8" w:rsidR="008160C9" w:rsidRDefault="008160C9" w:rsidP="008160C9">
      <w:r>
        <w:t xml:space="preserve">The focus of this </w:t>
      </w:r>
      <w:proofErr w:type="spellStart"/>
      <w:r>
        <w:t>ITaP</w:t>
      </w:r>
      <w:proofErr w:type="spellEnd"/>
      <w:r>
        <w:t xml:space="preserve"> is the development of student teachers’ modelling skills</w:t>
      </w:r>
      <w:r w:rsidR="00450270">
        <w:t xml:space="preserve"> – in particular, the use of </w:t>
      </w:r>
      <w:r w:rsidR="00154D77">
        <w:t>‘</w:t>
      </w:r>
      <w:r w:rsidR="00450270">
        <w:t xml:space="preserve">think </w:t>
      </w:r>
      <w:proofErr w:type="spellStart"/>
      <w:r w:rsidR="00154D77">
        <w:t>alouds</w:t>
      </w:r>
      <w:proofErr w:type="spellEnd"/>
      <w:proofErr w:type="gramStart"/>
      <w:r w:rsidR="00154D77">
        <w:t xml:space="preserve">’ </w:t>
      </w:r>
      <w:r w:rsidR="00450270">
        <w:t xml:space="preserve"> to</w:t>
      </w:r>
      <w:proofErr w:type="gramEnd"/>
      <w:r w:rsidR="00450270">
        <w:t xml:space="preserve"> </w:t>
      </w:r>
      <w:proofErr w:type="gramStart"/>
      <w:r w:rsidR="00450270">
        <w:t xml:space="preserve">make </w:t>
      </w:r>
      <w:r w:rsidR="00FE2F0B">
        <w:t xml:space="preserve"> expert</w:t>
      </w:r>
      <w:proofErr w:type="gramEnd"/>
      <w:r w:rsidR="00FE2F0B">
        <w:t xml:space="preserve"> thought-processes visible </w:t>
      </w:r>
      <w:proofErr w:type="gramStart"/>
      <w:r w:rsidR="00FE2F0B">
        <w:t xml:space="preserve">- </w:t>
      </w:r>
      <w:r>
        <w:t xml:space="preserve"> through</w:t>
      </w:r>
      <w:proofErr w:type="gramEnd"/>
      <w:r>
        <w:t xml:space="preserve"> the lens of reading skills.</w:t>
      </w:r>
      <w:r w:rsidR="00450270">
        <w:t xml:space="preserve"> </w:t>
      </w:r>
    </w:p>
    <w:p w14:paraId="24746EF8" w14:textId="6D34D9AA" w:rsidR="0017232A" w:rsidRDefault="0017232A" w:rsidP="00E71098">
      <w:r>
        <w:t xml:space="preserve">Based on the evidence you have seen </w:t>
      </w:r>
      <w:r w:rsidR="008160C9">
        <w:t xml:space="preserve">in the student teacher’s planning and teaching, please comment below on </w:t>
      </w:r>
      <w:r w:rsidR="00FE2F0B">
        <w:t>the extent to whic</w:t>
      </w:r>
      <w:r w:rsidR="00B437CA">
        <w:t xml:space="preserve">h they are using modelling </w:t>
      </w:r>
      <w:r w:rsidR="00645677">
        <w:t>as part of their pedagogy</w:t>
      </w:r>
      <w:r w:rsidR="005D4D33">
        <w:t xml:space="preserve"> and their progress with respect to the </w:t>
      </w:r>
      <w:r w:rsidR="005D4D33" w:rsidRPr="008B5D3A">
        <w:rPr>
          <w:b/>
          <w:bCs/>
        </w:rPr>
        <w:t xml:space="preserve">Phase 1 expectations this </w:t>
      </w:r>
      <w:proofErr w:type="spellStart"/>
      <w:r w:rsidR="005D4D33" w:rsidRPr="008B5D3A">
        <w:rPr>
          <w:b/>
          <w:bCs/>
        </w:rPr>
        <w:t>ITaP</w:t>
      </w:r>
      <w:proofErr w:type="spellEnd"/>
      <w:r w:rsidR="005D4D33" w:rsidRPr="008B5D3A">
        <w:rPr>
          <w:b/>
          <w:bCs/>
        </w:rPr>
        <w:t xml:space="preserve"> links to (see below).</w:t>
      </w:r>
      <w:r w:rsidR="005D4D33">
        <w:t xml:space="preserve"> </w:t>
      </w:r>
    </w:p>
    <w:p w14:paraId="410F7465" w14:textId="3852993A" w:rsidR="00A7084E" w:rsidRDefault="00A7084E" w:rsidP="00E710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7084E" w14:paraId="3AE0DF7F" w14:textId="77777777" w:rsidTr="00A7084E">
        <w:tc>
          <w:tcPr>
            <w:tcW w:w="2614" w:type="dxa"/>
          </w:tcPr>
          <w:p w14:paraId="55D98BBC" w14:textId="77777777" w:rsidR="00A7084E" w:rsidRDefault="00A7084E" w:rsidP="00E71098"/>
        </w:tc>
        <w:tc>
          <w:tcPr>
            <w:tcW w:w="2614" w:type="dxa"/>
          </w:tcPr>
          <w:p w14:paraId="15D2800B" w14:textId="6CA738A1" w:rsidR="00A7084E" w:rsidRDefault="002A7FCD" w:rsidP="00E71098">
            <w:r w:rsidRPr="002A7FCD">
              <w:t>Q3 – How do I develop strong subject knowledge and deliver a coherent, sequenced curriculum that builds on pupil’s prior knowledge?</w:t>
            </w:r>
          </w:p>
        </w:tc>
        <w:tc>
          <w:tcPr>
            <w:tcW w:w="2614" w:type="dxa"/>
          </w:tcPr>
          <w:p w14:paraId="4786EA2E" w14:textId="77777777" w:rsidR="00A7084E" w:rsidRDefault="00A7084E" w:rsidP="00E71098"/>
        </w:tc>
        <w:tc>
          <w:tcPr>
            <w:tcW w:w="2614" w:type="dxa"/>
          </w:tcPr>
          <w:p w14:paraId="1DD2CBCB" w14:textId="77777777" w:rsidR="00A7084E" w:rsidRDefault="00A7084E" w:rsidP="00E71098"/>
        </w:tc>
      </w:tr>
      <w:tr w:rsidR="008B5D3A" w14:paraId="40BED039" w14:textId="77777777" w:rsidTr="00A7084E">
        <w:tc>
          <w:tcPr>
            <w:tcW w:w="2614" w:type="dxa"/>
          </w:tcPr>
          <w:p w14:paraId="5131F93D" w14:textId="77777777" w:rsidR="00EA09BC" w:rsidRDefault="00EA09BC" w:rsidP="00EA09BC">
            <w:r>
              <w:t>I have gained knowledge of the school’s SSP scheme</w:t>
            </w:r>
          </w:p>
          <w:p w14:paraId="05337CAB" w14:textId="77777777" w:rsidR="00EA09BC" w:rsidRDefault="00EA09BC" w:rsidP="00EA09BC">
            <w:r>
              <w:t>including lesson structure, GPC progression map, specific</w:t>
            </w:r>
          </w:p>
          <w:p w14:paraId="234267FE" w14:textId="77777777" w:rsidR="00EA09BC" w:rsidRDefault="00EA09BC" w:rsidP="00EA09BC">
            <w:r>
              <w:t>teaching approaches and the reading of decodable texts. I</w:t>
            </w:r>
          </w:p>
          <w:p w14:paraId="459C33C5" w14:textId="77777777" w:rsidR="00EA09BC" w:rsidRDefault="00EA09BC" w:rsidP="00EA09BC">
            <w:r>
              <w:t>have planned and taught, with some degree of success</w:t>
            </w:r>
          </w:p>
          <w:p w14:paraId="147AE4C3" w14:textId="77777777" w:rsidR="00EA09BC" w:rsidRDefault="00EA09BC" w:rsidP="00EA09BC">
            <w:r>
              <w:t xml:space="preserve">and independence some SSP lessons and lessons </w:t>
            </w:r>
            <w:proofErr w:type="gramStart"/>
            <w:r>
              <w:t>where</w:t>
            </w:r>
            <w:proofErr w:type="gramEnd"/>
          </w:p>
          <w:p w14:paraId="49A6B84C" w14:textId="77777777" w:rsidR="00EA09BC" w:rsidRDefault="00EA09BC" w:rsidP="00EA09BC">
            <w:r>
              <w:t>children apply phonics to the reading of decodable texts. I</w:t>
            </w:r>
          </w:p>
          <w:p w14:paraId="1BF922F0" w14:textId="77777777" w:rsidR="00EA09BC" w:rsidRDefault="00EA09BC" w:rsidP="00EA09BC">
            <w:r>
              <w:t>have started to assess children’s success and</w:t>
            </w:r>
          </w:p>
          <w:p w14:paraId="3FBE172C" w14:textId="77777777" w:rsidR="00EA09BC" w:rsidRDefault="00EA09BC" w:rsidP="00EA09BC">
            <w:r>
              <w:t>misconceptions within individual lessons and to respond</w:t>
            </w:r>
          </w:p>
          <w:p w14:paraId="7A8BBF7C" w14:textId="77777777" w:rsidR="00EA09BC" w:rsidRDefault="00EA09BC" w:rsidP="00EA09BC">
            <w:r>
              <w:t>appropriately. I have made children aware of why they</w:t>
            </w:r>
          </w:p>
          <w:p w14:paraId="5E3DE358" w14:textId="77777777" w:rsidR="00EA09BC" w:rsidRDefault="00EA09BC" w:rsidP="00EA09BC">
            <w:r>
              <w:t>learn phonics. I have demonstrated accurate content</w:t>
            </w:r>
          </w:p>
          <w:p w14:paraId="07478502" w14:textId="77777777" w:rsidR="00EA09BC" w:rsidRDefault="00EA09BC" w:rsidP="00EA09BC">
            <w:r>
              <w:t>subject knowledge. I have read aloud to children,</w:t>
            </w:r>
          </w:p>
          <w:p w14:paraId="5EC2EA4F" w14:textId="5DC64FA1" w:rsidR="008B5D3A" w:rsidRDefault="00EA09BC" w:rsidP="00EA09BC">
            <w:r>
              <w:t>including for pleasure.</w:t>
            </w:r>
          </w:p>
        </w:tc>
        <w:tc>
          <w:tcPr>
            <w:tcW w:w="2614" w:type="dxa"/>
          </w:tcPr>
          <w:p w14:paraId="76A3CD36" w14:textId="6C0C583E" w:rsidR="008B5D3A" w:rsidRDefault="005F029E" w:rsidP="00E71098">
            <w:r w:rsidRPr="00AF151B">
              <w:t xml:space="preserve"> </w:t>
            </w:r>
            <w:r w:rsidR="00AF151B" w:rsidRPr="00AF151B">
              <w:t>I</w:t>
            </w:r>
            <w:r w:rsidR="00AF151B">
              <w:rPr>
                <w:i/>
                <w:iCs/>
              </w:rPr>
              <w:t xml:space="preserve"> </w:t>
            </w:r>
            <w:r w:rsidRPr="005F029E">
              <w:t>have observed and can articulate how experienced teachers assess and build on prior learning across a range of primary subjects. I understand how knowledge builds logically over a sequence of lessons</w:t>
            </w:r>
          </w:p>
        </w:tc>
        <w:tc>
          <w:tcPr>
            <w:tcW w:w="2614" w:type="dxa"/>
          </w:tcPr>
          <w:p w14:paraId="05047BC5" w14:textId="77777777" w:rsidR="008B5D3A" w:rsidRDefault="008B5D3A" w:rsidP="00E71098"/>
        </w:tc>
        <w:tc>
          <w:tcPr>
            <w:tcW w:w="2614" w:type="dxa"/>
          </w:tcPr>
          <w:p w14:paraId="180CDE74" w14:textId="77777777" w:rsidR="008B5D3A" w:rsidRDefault="008B5D3A" w:rsidP="00E71098"/>
        </w:tc>
      </w:tr>
    </w:tbl>
    <w:p w14:paraId="5242161E" w14:textId="77777777" w:rsidR="00A7084E" w:rsidRDefault="00A7084E" w:rsidP="00E71098"/>
    <w:p w14:paraId="42340DB8" w14:textId="77777777" w:rsidR="00ED38E0" w:rsidRDefault="00ED38E0" w:rsidP="00E71098"/>
    <w:p w14:paraId="75F44856" w14:textId="77777777" w:rsidR="002E591A" w:rsidRPr="0057565B" w:rsidRDefault="002E591A" w:rsidP="002E591A">
      <w:pPr>
        <w:contextualSpacing/>
        <w:rPr>
          <w:rFonts w:ascii="Calibri" w:eastAsia="PMingLiU" w:hAnsi="Calibri" w:cs="Calibri"/>
          <w:b/>
          <w:bCs/>
        </w:rPr>
      </w:pPr>
      <w:r w:rsidRPr="0057565B">
        <w:rPr>
          <w:rFonts w:ascii="Calibri" w:eastAsia="PMingLiU" w:hAnsi="Calibri" w:cs="Calibri"/>
          <w:b/>
          <w:bCs/>
        </w:rPr>
        <w:t xml:space="preserve">Please indicate </w:t>
      </w:r>
      <w:r>
        <w:rPr>
          <w:rFonts w:ascii="Calibri" w:eastAsia="PMingLiU" w:hAnsi="Calibri" w:cs="Calibri"/>
          <w:b/>
          <w:bCs/>
        </w:rPr>
        <w:t>2</w:t>
      </w:r>
      <w:r w:rsidRPr="0057565B">
        <w:rPr>
          <w:rFonts w:ascii="Calibri" w:eastAsia="PMingLiU" w:hAnsi="Calibri" w:cs="Calibri"/>
          <w:b/>
          <w:bCs/>
        </w:rPr>
        <w:t xml:space="preserve"> early reading-related targets</w:t>
      </w:r>
      <w:r>
        <w:rPr>
          <w:rFonts w:ascii="Calibri" w:eastAsia="PMingLiU" w:hAnsi="Calibri" w:cs="Calibri"/>
          <w:b/>
          <w:bCs/>
        </w:rPr>
        <w:t xml:space="preserve"> that the student can focus on in the next stage of school placements. </w:t>
      </w:r>
      <w:r w:rsidRPr="0057565B">
        <w:rPr>
          <w:rFonts w:ascii="Calibri" w:eastAsia="PMingLiU" w:hAnsi="Calibri" w:cs="Calibri"/>
          <w:b/>
          <w:bCs/>
        </w:rPr>
        <w:t xml:space="preserve"> </w:t>
      </w:r>
    </w:p>
    <w:p w14:paraId="3787F484" w14:textId="77777777" w:rsidR="002E591A" w:rsidRPr="0057565B" w:rsidRDefault="002E591A" w:rsidP="002E591A">
      <w:pPr>
        <w:contextualSpacing/>
        <w:rPr>
          <w:rFonts w:ascii="Calibri" w:eastAsia="PMingLiU" w:hAnsi="Calibri" w:cs="Calibri"/>
          <w:b/>
          <w:bCs/>
          <w:i/>
          <w:iCs/>
        </w:rPr>
      </w:pPr>
      <w:r>
        <w:rPr>
          <w:rFonts w:ascii="Calibri" w:eastAsia="PMingLiU" w:hAnsi="Calibri" w:cs="Calibri"/>
          <w:b/>
          <w:bCs/>
          <w:i/>
          <w:iCs/>
          <w:szCs w:val="20"/>
        </w:rPr>
        <w:t xml:space="preserve">Refer to </w:t>
      </w:r>
      <w:proofErr w:type="gramStart"/>
      <w:r>
        <w:rPr>
          <w:rFonts w:ascii="Calibri" w:eastAsia="PMingLiU" w:hAnsi="Calibri" w:cs="Calibri"/>
          <w:b/>
          <w:bCs/>
          <w:i/>
          <w:iCs/>
          <w:szCs w:val="20"/>
        </w:rPr>
        <w:t xml:space="preserve">the </w:t>
      </w:r>
      <w:r w:rsidRPr="0057565B">
        <w:rPr>
          <w:rFonts w:ascii="Calibri" w:eastAsia="PMingLiU" w:hAnsi="Calibri" w:cs="Calibri"/>
          <w:b/>
          <w:bCs/>
          <w:i/>
          <w:iCs/>
          <w:szCs w:val="20"/>
        </w:rPr>
        <w:t xml:space="preserve"> outcomes</w:t>
      </w:r>
      <w:proofErr w:type="gramEnd"/>
      <w:r w:rsidRPr="0057565B">
        <w:rPr>
          <w:rFonts w:ascii="Calibri" w:eastAsia="PMingLiU" w:hAnsi="Calibri" w:cs="Calibri"/>
          <w:b/>
          <w:bCs/>
          <w:i/>
          <w:iCs/>
          <w:szCs w:val="20"/>
        </w:rPr>
        <w:t xml:space="preserve"> above</w:t>
      </w:r>
      <w:r>
        <w:rPr>
          <w:rFonts w:ascii="Calibri" w:eastAsia="PMingLiU" w:hAnsi="Calibri" w:cs="Calibri"/>
          <w:b/>
          <w:bCs/>
          <w:i/>
          <w:iCs/>
          <w:szCs w:val="20"/>
        </w:rPr>
        <w:t xml:space="preserve"> to help with these. </w:t>
      </w:r>
    </w:p>
    <w:p w14:paraId="5AA7ACF4" w14:textId="77777777" w:rsidR="00A16D9D" w:rsidRDefault="00A16D9D" w:rsidP="00E71098"/>
    <w:sectPr w:rsidR="00A16D9D" w:rsidSect="00E5045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05E1" w14:textId="77777777" w:rsidR="0041170C" w:rsidRDefault="0041170C" w:rsidP="001058A6">
      <w:pPr>
        <w:spacing w:after="0" w:line="240" w:lineRule="auto"/>
      </w:pPr>
      <w:r>
        <w:separator/>
      </w:r>
    </w:p>
  </w:endnote>
  <w:endnote w:type="continuationSeparator" w:id="0">
    <w:p w14:paraId="2E45E0E2" w14:textId="77777777" w:rsidR="0041170C" w:rsidRDefault="0041170C" w:rsidP="0010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D6C6" w14:textId="77777777" w:rsidR="0041170C" w:rsidRDefault="0041170C" w:rsidP="001058A6">
      <w:pPr>
        <w:spacing w:after="0" w:line="240" w:lineRule="auto"/>
      </w:pPr>
      <w:r>
        <w:separator/>
      </w:r>
    </w:p>
  </w:footnote>
  <w:footnote w:type="continuationSeparator" w:id="0">
    <w:p w14:paraId="15283A32" w14:textId="77777777" w:rsidR="0041170C" w:rsidRDefault="0041170C" w:rsidP="0010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7529" w14:textId="660F0A48" w:rsidR="001058A6" w:rsidRPr="00E71098" w:rsidRDefault="00892844">
    <w:pPr>
      <w:pStyle w:val="Header"/>
      <w:rPr>
        <w:b/>
        <w:bCs/>
      </w:rPr>
    </w:pPr>
    <w:r>
      <w:rPr>
        <w:b/>
        <w:bCs/>
      </w:rPr>
      <w:t xml:space="preserve">USING </w:t>
    </w:r>
    <w:r w:rsidR="001058A6" w:rsidRPr="00E71098">
      <w:rPr>
        <w:b/>
        <w:bCs/>
      </w:rPr>
      <w:t xml:space="preserve">MODELLING </w:t>
    </w:r>
    <w:r>
      <w:rPr>
        <w:b/>
        <w:bCs/>
      </w:rPr>
      <w:t xml:space="preserve">IN </w:t>
    </w:r>
    <w:r w:rsidR="00E71098" w:rsidRPr="00E71098">
      <w:rPr>
        <w:b/>
        <w:bCs/>
      </w:rPr>
      <w:t xml:space="preserve">THE TEACHING OF READING </w:t>
    </w:r>
    <w:proofErr w:type="spellStart"/>
    <w:r w:rsidR="00E71098" w:rsidRPr="00E71098">
      <w:rPr>
        <w:b/>
        <w:bCs/>
      </w:rPr>
      <w:t>ITaP</w:t>
    </w:r>
    <w:proofErr w:type="spellEnd"/>
    <w:r w:rsidR="00E71098" w:rsidRPr="00E71098">
      <w:rPr>
        <w:b/>
        <w:bCs/>
      </w:rPr>
      <w:t xml:space="preserve">: </w:t>
    </w:r>
    <w:r w:rsidR="001058A6" w:rsidRPr="00E71098">
      <w:rPr>
        <w:b/>
        <w:bCs/>
      </w:rPr>
      <w:t>TEACHER OBSERVATION PRO-FORMA</w:t>
    </w:r>
  </w:p>
  <w:p w14:paraId="3B0777DA" w14:textId="77777777" w:rsidR="001058A6" w:rsidRDefault="00105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5A"/>
    <w:rsid w:val="00052AC9"/>
    <w:rsid w:val="001058A6"/>
    <w:rsid w:val="00123A15"/>
    <w:rsid w:val="00130046"/>
    <w:rsid w:val="001443BC"/>
    <w:rsid w:val="00154D77"/>
    <w:rsid w:val="001634B2"/>
    <w:rsid w:val="0017232A"/>
    <w:rsid w:val="001C5804"/>
    <w:rsid w:val="001D7AF2"/>
    <w:rsid w:val="00257D8B"/>
    <w:rsid w:val="00265143"/>
    <w:rsid w:val="002A7FCD"/>
    <w:rsid w:val="002E591A"/>
    <w:rsid w:val="0041170C"/>
    <w:rsid w:val="00445561"/>
    <w:rsid w:val="00450270"/>
    <w:rsid w:val="00466FFF"/>
    <w:rsid w:val="00476883"/>
    <w:rsid w:val="004E69E9"/>
    <w:rsid w:val="00530799"/>
    <w:rsid w:val="00566118"/>
    <w:rsid w:val="005D4D33"/>
    <w:rsid w:val="005F029E"/>
    <w:rsid w:val="00645677"/>
    <w:rsid w:val="007023A7"/>
    <w:rsid w:val="0072359B"/>
    <w:rsid w:val="00770BA9"/>
    <w:rsid w:val="007813C1"/>
    <w:rsid w:val="0078268D"/>
    <w:rsid w:val="008160C9"/>
    <w:rsid w:val="008852AC"/>
    <w:rsid w:val="00892844"/>
    <w:rsid w:val="008B5D3A"/>
    <w:rsid w:val="008F5687"/>
    <w:rsid w:val="00930BE9"/>
    <w:rsid w:val="00956A67"/>
    <w:rsid w:val="00966110"/>
    <w:rsid w:val="00976D36"/>
    <w:rsid w:val="009A0FD0"/>
    <w:rsid w:val="009A294E"/>
    <w:rsid w:val="00A02885"/>
    <w:rsid w:val="00A16D9D"/>
    <w:rsid w:val="00A34F8E"/>
    <w:rsid w:val="00A40E7F"/>
    <w:rsid w:val="00A7084E"/>
    <w:rsid w:val="00AF151B"/>
    <w:rsid w:val="00B242C0"/>
    <w:rsid w:val="00B437CA"/>
    <w:rsid w:val="00B669A6"/>
    <w:rsid w:val="00B7546A"/>
    <w:rsid w:val="00B95685"/>
    <w:rsid w:val="00BB4351"/>
    <w:rsid w:val="00BC68E4"/>
    <w:rsid w:val="00C53B33"/>
    <w:rsid w:val="00C57F57"/>
    <w:rsid w:val="00C606E7"/>
    <w:rsid w:val="00C926D4"/>
    <w:rsid w:val="00CD7512"/>
    <w:rsid w:val="00D26F85"/>
    <w:rsid w:val="00D32D50"/>
    <w:rsid w:val="00D66FD8"/>
    <w:rsid w:val="00DE47C2"/>
    <w:rsid w:val="00E02974"/>
    <w:rsid w:val="00E24C20"/>
    <w:rsid w:val="00E5045A"/>
    <w:rsid w:val="00E71098"/>
    <w:rsid w:val="00E82767"/>
    <w:rsid w:val="00EA09BC"/>
    <w:rsid w:val="00ED38E0"/>
    <w:rsid w:val="00EE294D"/>
    <w:rsid w:val="00F0340B"/>
    <w:rsid w:val="00F1729F"/>
    <w:rsid w:val="00F46570"/>
    <w:rsid w:val="00F61E27"/>
    <w:rsid w:val="00FA62D7"/>
    <w:rsid w:val="00FE2F0B"/>
    <w:rsid w:val="01431786"/>
    <w:rsid w:val="019FDE6A"/>
    <w:rsid w:val="09A6F747"/>
    <w:rsid w:val="17407797"/>
    <w:rsid w:val="1A692805"/>
    <w:rsid w:val="1C600016"/>
    <w:rsid w:val="2746736D"/>
    <w:rsid w:val="28A409C6"/>
    <w:rsid w:val="29CA0CA3"/>
    <w:rsid w:val="2A032F9A"/>
    <w:rsid w:val="2A985DFA"/>
    <w:rsid w:val="2D0456F6"/>
    <w:rsid w:val="34549E1F"/>
    <w:rsid w:val="38812D8E"/>
    <w:rsid w:val="3AE23895"/>
    <w:rsid w:val="3BCFC757"/>
    <w:rsid w:val="3D33E1FA"/>
    <w:rsid w:val="523BEB5C"/>
    <w:rsid w:val="523C6093"/>
    <w:rsid w:val="5305E3B4"/>
    <w:rsid w:val="54E66733"/>
    <w:rsid w:val="583B3A7C"/>
    <w:rsid w:val="5C019024"/>
    <w:rsid w:val="6065335C"/>
    <w:rsid w:val="62D1591C"/>
    <w:rsid w:val="6AED60B4"/>
    <w:rsid w:val="6B1420D6"/>
    <w:rsid w:val="6C903BA0"/>
    <w:rsid w:val="6E785669"/>
    <w:rsid w:val="7BB05248"/>
    <w:rsid w:val="7DD48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07A7"/>
  <w15:chartTrackingRefBased/>
  <w15:docId w15:val="{B5C2668D-2AA6-4B86-934E-347FE6E4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45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4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4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4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4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4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4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4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4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4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4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45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45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5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4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045A"/>
    <w:pPr>
      <w:spacing w:after="0" w:line="240" w:lineRule="auto"/>
    </w:pPr>
    <w:rPr>
      <w:rFonts w:ascii="Times New Roman" w:eastAsiaTheme="minorEastAsia" w:hAnsi="Times New Roman"/>
      <w:kern w:val="0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A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5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Ankers De Salis, Colette</dc:creator>
  <cp:keywords/>
  <dc:description/>
  <cp:lastModifiedBy>Ankers De Salis, Colette</cp:lastModifiedBy>
  <cp:revision>24</cp:revision>
  <dcterms:created xsi:type="dcterms:W3CDTF">2026-04-28T14:40:00Z</dcterms:created>
  <dcterms:modified xsi:type="dcterms:W3CDTF">2026-05-01T15:05:00Z</dcterms:modified>
</cp:coreProperties>
</file>